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07F7F"/>
          <w:sz w:val="19"/>
        </w:rPr>
        <w:t>METHODENBLATT</w:t>
      </w:r>
    </w:p>
    <w:p>
      <w:pPr>
        <w:spacing w:after="200"/>
      </w:pPr>
      <w:r>
        <w:rPr>
          <w:b/>
          <w:color w:val="3A3A3A"/>
          <w:sz w:val="40"/>
        </w:rPr>
        <w:t>KI-Sichtbarkeitsatlas Deutschland 2026</w:t>
      </w:r>
    </w:p>
    <w:p>
      <w:r>
        <w:rPr>
          <w:b w:val="0"/>
          <w:color w:val="3A3A3A"/>
          <w:sz w:val="21"/>
        </w:rPr>
        <w:t>Der KI-Sichtbarkeitsatlas misst, wie verlässlich ChatGPT die Betriebe empfiehlt, die lokal in Google Maps ganz oben stehen: 1.923 Betriebe, 10 Branchen, 46 Orte, 4.140 Antworten, gemessen vom 12. bis 22. Oktober 2026.</w:t>
      </w:r>
    </w:p>
    <w:p>
      <w:pPr>
        <w:keepNext/>
        <w:spacing w:before="200" w:after="60"/>
      </w:pPr>
      <w:r>
        <w:rPr>
          <w:b/>
          <w:color w:val="007F7F"/>
          <w:sz w:val="25"/>
        </w:rPr>
        <w:t>Stichprobe</w:t>
      </w:r>
    </w:p>
    <w:p>
      <w:r>
        <w:rPr>
          <w:b w:val="0"/>
          <w:color w:val="3A3A3A"/>
          <w:sz w:val="21"/>
        </w:rPr>
        <w:t>Grundlage sind die sichtbarsten Betriebe in Google Maps zum Messzeitpunkt, keine Zufallsstichprobe aller Betriebe.</w:t>
      </w:r>
    </w:p>
    <w:p>
      <w:pPr>
        <w:pStyle w:val="ListBullet"/>
      </w:pPr>
      <w:r>
        <w:rPr>
          <w:b/>
          <w:color w:val="3A3A3A"/>
          <w:sz w:val="21"/>
        </w:rPr>
        <w:t>Branchen (10):</w:t>
      </w:r>
      <w:r>
        <w:rPr>
          <w:b w:val="0"/>
          <w:color w:val="3A3A3A"/>
          <w:sz w:val="21"/>
        </w:rPr>
        <w:t xml:space="preserve"> Steuerberater, Rechtsanwälte, Zahnarztpraxen, Immobilienmakler, Hotels, Autohäuser, Handwerk Heizung/Sanitär/Solar, Maschinen- und Anlagenbau, IT-Dienstleister, Bildungsanbieter</w:t>
      </w:r>
    </w:p>
    <w:p>
      <w:pPr>
        <w:pStyle w:val="ListBullet"/>
      </w:pPr>
      <w:r>
        <w:rPr>
          <w:b/>
          <w:color w:val="3A3A3A"/>
          <w:sz w:val="21"/>
        </w:rPr>
        <w:t>Orte (46) in 30 Regionen:</w:t>
      </w:r>
      <w:r>
        <w:rPr>
          <w:b w:val="0"/>
          <w:color w:val="3A3A3A"/>
          <w:sz w:val="21"/>
        </w:rPr>
        <w:t xml:space="preserve"> die 14 einwohnerstärksten Städte sowie acht Großregionen mit je zwei städtischen und zwei ländlichen Orten</w:t>
      </w:r>
    </w:p>
    <w:p>
      <w:pPr>
        <w:pStyle w:val="ListBullet"/>
      </w:pPr>
      <w:r>
        <w:rPr>
          <w:b/>
          <w:color w:val="3A3A3A"/>
          <w:sz w:val="21"/>
        </w:rPr>
        <w:t>Auswahl:</w:t>
      </w:r>
      <w:r>
        <w:rPr>
          <w:b w:val="0"/>
          <w:color w:val="3A3A3A"/>
          <w:sz w:val="21"/>
        </w:rPr>
        <w:t xml:space="preserve"> Google-Maps-Suche nach Branchenbegriff und Ort. In Großstädten die ersten sechs passenden Treffer, in den Regionen je Ort die ersten drei. Branchenfremde Treffer (etwa Lohnsteuerhilfevereine) wurden nach festen Ausschlusslisten übersprungen.</w:t>
      </w:r>
    </w:p>
    <w:p>
      <w:pPr>
        <w:pStyle w:val="ListBullet"/>
      </w:pPr>
      <w:r>
        <w:rPr>
          <w:b/>
          <w:color w:val="3A3A3A"/>
          <w:sz w:val="21"/>
        </w:rPr>
        <w:t>Umfang:</w:t>
      </w:r>
      <w:r>
        <w:rPr>
          <w:b w:val="0"/>
          <w:color w:val="3A3A3A"/>
          <w:sz w:val="21"/>
        </w:rPr>
        <w:t xml:space="preserve"> 1.923 Betriebe, davon 896 in Großstädten, 516 in städtischen und 511 in ländlichen Orten</w:t>
      </w:r>
    </w:p>
    <w:p>
      <w:pPr>
        <w:keepNext/>
        <w:spacing w:before="200" w:after="60"/>
      </w:pPr>
      <w:r>
        <w:rPr>
          <w:b/>
          <w:color w:val="007F7F"/>
          <w:sz w:val="25"/>
        </w:rPr>
        <w:t>Abfrage</w:t>
      </w:r>
    </w:p>
    <w:p>
      <w:r>
        <w:rPr>
          <w:b w:val="0"/>
          <w:color w:val="3A3A3A"/>
          <w:sz w:val="21"/>
        </w:rPr>
        <w:t>Je Ort und Branche wurden ChatGPT drei typische Kundenfragen gestellt, jede in drei Durchgängen im selben Wortlaut. Das ergibt 9 Antworten je Ort und Branche und 4.140 Antworten insgesamt.</w:t>
      </w:r>
    </w:p>
    <w:p>
      <w:pPr>
        <w:pStyle w:val="ListBullet"/>
      </w:pPr>
      <w:r>
        <w:rPr>
          <w:b/>
          <w:color w:val="3A3A3A"/>
          <w:sz w:val="21"/>
        </w:rPr>
        <w:t>Beispiel Steuerberater:</w:t>
      </w:r>
      <w:r>
        <w:rPr>
          <w:b w:val="0"/>
          <w:color w:val="3A3A3A"/>
          <w:sz w:val="21"/>
        </w:rPr>
        <w:t xml:space="preserve"> „Welchen Steuerberater in {Ort} kannst du einem mittelständischen Unternehmen empfehlen?“, „Ich bin selbstständig und suche eine gute Steuerberatung in {Ort}. Welche Kanzleien würdest du nennen?“, „Welche Steuerkanzleien in {Ort} sind auf Unternehmen spezialisiert?“</w:t>
      </w:r>
    </w:p>
    <w:p>
      <w:pPr>
        <w:pStyle w:val="ListBullet"/>
      </w:pPr>
      <w:r>
        <w:rPr>
          <w:b/>
          <w:color w:val="3A3A3A"/>
          <w:sz w:val="21"/>
        </w:rPr>
        <w:t>Modell:</w:t>
      </w:r>
      <w:r>
        <w:rPr>
          <w:b w:val="0"/>
          <w:color w:val="3A3A3A"/>
          <w:sz w:val="21"/>
        </w:rPr>
        <w:t xml:space="preserve"> gpt-5.4 über die Schnittstelle von OpenAI, Websuche verpflichtend eingeschaltet, Standort Deutschland</w:t>
      </w:r>
    </w:p>
    <w:p>
      <w:pPr>
        <w:pStyle w:val="ListBullet"/>
      </w:pPr>
      <w:r>
        <w:rPr>
          <w:b/>
          <w:color w:val="3A3A3A"/>
          <w:sz w:val="21"/>
        </w:rPr>
        <w:t>Zeitraum:</w:t>
      </w:r>
      <w:r>
        <w:rPr>
          <w:b w:val="0"/>
          <w:color w:val="3A3A3A"/>
          <w:sz w:val="21"/>
        </w:rPr>
        <w:t xml:space="preserve"> 12. bis 22. Oktober 2026</w:t>
      </w:r>
    </w:p>
    <w:p>
      <w:pPr>
        <w:pStyle w:val="ListBullet"/>
      </w:pPr>
      <w:r>
        <w:rPr>
          <w:b/>
          <w:color w:val="3A3A3A"/>
          <w:sz w:val="21"/>
        </w:rPr>
        <w:t>Erfasst je Antwort:</w:t>
      </w:r>
      <w:r>
        <w:rPr>
          <w:b w:val="0"/>
          <w:color w:val="3A3A3A"/>
          <w:sz w:val="21"/>
        </w:rPr>
        <w:t xml:space="preserve"> alle genannten Betriebe und alle verlinkten Quellen</w:t>
      </w:r>
    </w:p>
    <w:p>
      <w:pPr>
        <w:pStyle w:val="ListBullet"/>
      </w:pPr>
      <w:r>
        <w:rPr>
          <w:b/>
          <w:color w:val="3A3A3A"/>
          <w:sz w:val="21"/>
        </w:rPr>
        <w:t>Kartengrundlage:</w:t>
      </w:r>
      <w:r>
        <w:rPr>
          <w:b w:val="0"/>
          <w:color w:val="3A3A3A"/>
          <w:sz w:val="21"/>
        </w:rPr>
        <w:t xml:space="preserve"> Verwaltungsgrenzen von Natural Earth (gemeinfrei)</w:t>
      </w:r>
    </w:p>
    <w:p>
      <w:r>
        <w:rPr>
          <w:b w:val="0"/>
          <w:color w:val="3A3A3A"/>
          <w:sz w:val="21"/>
        </w:rPr>
        <w:t>Die Fragen aller zehn Branchen stehen auf der Atlas-Seite in der Karte bei jedem Ort.</w:t>
      </w:r>
    </w:p>
    <w:p>
      <w:pPr>
        <w:keepNext/>
        <w:spacing w:before="200" w:after="60"/>
      </w:pPr>
      <w:r>
        <w:rPr>
          <w:b/>
          <w:color w:val="007F7F"/>
          <w:sz w:val="25"/>
        </w:rPr>
        <w:t>Kennzahlen</w:t>
      </w:r>
    </w:p>
    <w:p>
      <w:r>
        <w:rPr>
          <w:b w:val="0"/>
          <w:color w:val="3A3A3A"/>
          <w:sz w:val="21"/>
        </w:rPr>
        <w:t>Zentrale Kennzahl ist die KI-Empfehlungsquote. Sie zählt nicht einzelne Nennungen, sondern ob ein Betrieb in der Mehrheit der Antworten vorkommt, also bei ChatGPT gesetzt ist.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54"/>
        <w:gridCol w:w="5443"/>
        <w:gridCol w:w="1701"/>
      </w:tblGrid>
      <w:tr>
        <w:trPr>
          <w:tblHeader/>
        </w:trPr>
        <w:tc>
          <w:tcPr>
            <w:tcW w:type="dxa" w:w="2154"/>
            <w:shd w:val="clear" w:fill="007F7F"/>
          </w:tcPr>
          <w:p>
            <w:r/>
            <w:r>
              <w:rPr>
                <w:b/>
                <w:color w:val="FFFFFF"/>
                <w:sz w:val="19"/>
              </w:rPr>
              <w:t>Kennzahl</w:t>
            </w:r>
          </w:p>
        </w:tc>
        <w:tc>
          <w:tcPr>
            <w:tcW w:type="dxa" w:w="5443"/>
            <w:shd w:val="clear" w:fill="007F7F"/>
          </w:tcPr>
          <w:p>
            <w:r/>
            <w:r>
              <w:rPr>
                <w:b/>
                <w:color w:val="FFFFFF"/>
                <w:sz w:val="19"/>
              </w:rPr>
              <w:t>Definition</w:t>
            </w:r>
          </w:p>
        </w:tc>
        <w:tc>
          <w:tcPr>
            <w:tcW w:type="dxa" w:w="1701"/>
            <w:shd w:val="clear" w:fill="007F7F"/>
          </w:tcPr>
          <w:p>
            <w:r/>
            <w:r>
              <w:rPr>
                <w:b/>
                <w:color w:val="FFFFFF"/>
                <w:sz w:val="19"/>
              </w:rPr>
              <w:t>Bundesweit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color w:val="3A3A3A"/>
                <w:sz w:val="19"/>
              </w:rPr>
              <w:t>KI-Favorit</w:t>
            </w:r>
          </w:p>
        </w:tc>
        <w:tc>
          <w:tcPr>
            <w:tcW w:type="dxa" w:w="5443"/>
          </w:tcPr>
          <w:p>
            <w:r/>
            <w:r>
              <w:rPr>
                <w:b w:val="0"/>
                <w:color w:val="3A3A3A"/>
                <w:sz w:val="19"/>
              </w:rPr>
              <w:t>Betrieb, der in mindestens 5 von 9 Antworten zu seinem Ort und seiner Branche genannt wird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color w:val="3A3A3A"/>
                <w:sz w:val="19"/>
              </w:rPr>
              <w:t>251 Betriebe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color w:val="3A3A3A"/>
                <w:sz w:val="19"/>
              </w:rPr>
              <w:t>Volltreffer</w:t>
            </w:r>
          </w:p>
        </w:tc>
        <w:tc>
          <w:tcPr>
            <w:tcW w:type="dxa" w:w="5443"/>
          </w:tcPr>
          <w:p>
            <w:r/>
            <w:r>
              <w:rPr>
                <w:b w:val="0"/>
                <w:color w:val="3A3A3A"/>
                <w:sz w:val="19"/>
              </w:rPr>
              <w:t>KI-Favorit, der in allen 9 Antworten genannt wird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color w:val="3A3A3A"/>
                <w:sz w:val="19"/>
              </w:rPr>
              <w:t>23 Betriebe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color w:val="3A3A3A"/>
                <w:sz w:val="19"/>
              </w:rPr>
              <w:t>KI-Empfehlungsquote</w:t>
            </w:r>
          </w:p>
        </w:tc>
        <w:tc>
          <w:tcPr>
            <w:tcW w:type="dxa" w:w="5443"/>
          </w:tcPr>
          <w:p>
            <w:r/>
            <w:r>
              <w:rPr>
                <w:b w:val="0"/>
                <w:color w:val="3A3A3A"/>
                <w:sz w:val="19"/>
              </w:rPr>
              <w:t>Anteil der lokal sichtbarsten Betriebe, die ChatGPT in mindestens 5 von 9 Antworten nennt, also in der Mehrheit der Antworten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color w:val="3A3A3A"/>
                <w:sz w:val="19"/>
              </w:rPr>
              <w:t>13 %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color w:val="3A3A3A"/>
                <w:sz w:val="19"/>
              </w:rPr>
              <w:t>Nie genannt</w:t>
            </w:r>
          </w:p>
        </w:tc>
        <w:tc>
          <w:tcPr>
            <w:tcW w:type="dxa" w:w="5443"/>
          </w:tcPr>
          <w:p>
            <w:r/>
            <w:r>
              <w:rPr>
                <w:b w:val="0"/>
                <w:color w:val="3A3A3A"/>
                <w:sz w:val="19"/>
              </w:rPr>
              <w:t>Anteil der lokal sichtbarsten Betriebe, die in keiner der 9 Antworten vorkommen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color w:val="3A3A3A"/>
                <w:sz w:val="19"/>
              </w:rPr>
              <w:t>47 %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color w:val="3A3A3A"/>
                <w:sz w:val="19"/>
              </w:rPr>
              <w:t>Wiederkehr</w:t>
            </w:r>
          </w:p>
        </w:tc>
        <w:tc>
          <w:tcPr>
            <w:tcW w:type="dxa" w:w="5443"/>
          </w:tcPr>
          <w:p>
            <w:r/>
            <w:r>
              <w:rPr>
                <w:b w:val="0"/>
                <w:color w:val="3A3A3A"/>
                <w:sz w:val="19"/>
              </w:rPr>
              <w:t>Anteil der zu einer Frage genannten Betriebe, die in mindestens 2 von 3 Durchgängen wieder vorkommen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color w:val="3A3A3A"/>
                <w:sz w:val="19"/>
              </w:rPr>
              <w:t>36 %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color w:val="3A3A3A"/>
                <w:sz w:val="19"/>
              </w:rPr>
              <w:t>Betriebe je Antwort</w:t>
            </w:r>
          </w:p>
        </w:tc>
        <w:tc>
          <w:tcPr>
            <w:tcW w:type="dxa" w:w="5443"/>
          </w:tcPr>
          <w:p>
            <w:r/>
            <w:r>
              <w:rPr>
                <w:b w:val="0"/>
                <w:color w:val="3A3A3A"/>
                <w:sz w:val="19"/>
              </w:rPr>
              <w:t>Zahl der verschiedenen Betriebe, die eine Antwort nennt, gemittelt über alle Antworten eines Ortes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color w:val="3A3A3A"/>
                <w:sz w:val="19"/>
              </w:rPr>
              <w:t>5,6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color w:val="3A3A3A"/>
                <w:sz w:val="19"/>
              </w:rPr>
              <w:t>Portale als Quelle</w:t>
            </w:r>
          </w:p>
        </w:tc>
        <w:tc>
          <w:tcPr>
            <w:tcW w:type="dxa" w:w="5443"/>
          </w:tcPr>
          <w:p>
            <w:r/>
            <w:r>
              <w:rPr>
                <w:b w:val="0"/>
                <w:color w:val="3A3A3A"/>
                <w:sz w:val="19"/>
              </w:rPr>
              <w:t>Anteil der verlinkten Quellen aus Portalen, Bewertungsseiten und Verzeichnissen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color w:val="3A3A3A"/>
                <w:sz w:val="19"/>
              </w:rPr>
              <w:t>23 %</w:t>
            </w:r>
          </w:p>
        </w:tc>
      </w:tr>
    </w:tbl>
    <w:p/>
    <w:p>
      <w:r>
        <w:rPr>
          <w:b w:val="0"/>
          <w:color w:val="3A3A3A"/>
          <w:sz w:val="21"/>
        </w:rPr>
        <w:t>Werte nach Ortstyp: KI-Empfehlungsquote 4 % in Großstädten, 9 % in städtischen und 34 % in ländlichen Orten. Werte nach Branche, Ort und Region stehen in der Ergebnistabelle.</w:t>
      </w:r>
    </w:p>
    <w:p>
      <w:pPr>
        <w:keepNext/>
        <w:spacing w:before="200" w:after="60"/>
      </w:pPr>
      <w:r>
        <w:rPr>
          <w:b/>
          <w:color w:val="007F7F"/>
          <w:sz w:val="25"/>
        </w:rPr>
        <w:t>Zuordnung, Prüfung und Gegenprobe</w:t>
      </w:r>
    </w:p>
    <w:p>
      <w:r>
        <w:rPr>
          <w:b w:val="0"/>
          <w:color w:val="3A3A3A"/>
          <w:sz w:val="21"/>
        </w:rPr>
        <w:t>Die in den Antworten genannten Namen wurden den Maps-Betrieben auf zwei Wegen zugeordnet: über die Website-Adresse in den verlinkten Quellen (nicht bei Ketten mit mehreren Filialen) und über einen Namensabgleich, der Rechtsformen und Ortszusätze ignoriert. Alle 255 Betriebe, die das Kriterium für KI-Favoriten erreichten, wurden von Hand geprüft. Vier Fehlzuordnungen wurden entfernt, es bleiben 251.</w:t>
      </w:r>
    </w:p>
    <w:p>
      <w:r>
        <w:rPr>
          <w:b w:val="0"/>
          <w:color w:val="3A3A3A"/>
          <w:sz w:val="21"/>
        </w:rPr>
        <w:t>Zur Gegenprobe wurden 83 Steuerberater-Fragen zusätzlich in der ChatGPT-App ohne Anmeldung gestellt. In der App kommen mehr der erfassten Kanzleien mindestens einmal vor (33 statt 22 Prozent), die KI-Empfehlungsquote ist mit 10 Prozent aber nahezu gleich wie über die Schnittstelle (9 Prozent). Ein angemeldetes Konto wurde nicht verwendet, weil persönliche Einstellungen und frühere Chats die Antworten beeinflussen.</w:t>
      </w:r>
    </w:p>
    <w:p>
      <w:pPr>
        <w:keepNext/>
        <w:spacing w:before="200" w:after="60"/>
      </w:pPr>
      <w:r>
        <w:rPr>
          <w:b/>
          <w:color w:val="007F7F"/>
          <w:sz w:val="25"/>
        </w:rPr>
        <w:t>Grenzen und Kontakt</w:t>
      </w:r>
    </w:p>
    <w:p>
      <w:pPr>
        <w:pStyle w:val="ListBullet"/>
      </w:pPr>
      <w:r>
        <w:rPr>
          <w:b w:val="0"/>
          <w:color w:val="3A3A3A"/>
          <w:sz w:val="21"/>
        </w:rPr>
        <w:t>Der Atlas misst ChatGPT. Google AI Overviews, Gemini oder Perplexity können andere Betriebe nennen.</w:t>
      </w:r>
    </w:p>
    <w:p>
      <w:pPr>
        <w:pStyle w:val="ListBullet"/>
      </w:pPr>
      <w:r>
        <w:rPr>
          <w:b w:val="0"/>
          <w:color w:val="3A3A3A"/>
          <w:sz w:val="21"/>
        </w:rPr>
        <w:t>Die Aussagen gelten für die sichtbarsten Betriebe in Google Maps zum Messzeitpunkt. Die Reihenfolge in Maps hängt von Ort und Zeitpunkt der Suche ab.</w:t>
      </w:r>
    </w:p>
    <w:p>
      <w:pPr>
        <w:pStyle w:val="ListBullet"/>
      </w:pPr>
      <w:r>
        <w:rPr>
          <w:b w:val="0"/>
          <w:color w:val="3A3A3A"/>
          <w:sz w:val="21"/>
        </w:rPr>
        <w:t>Einzelne Fehlzuordnungen sind trotz Prüfung möglich, vor allem bei Ketten. Die Größenordnungen sind belastbar, einzelne Prozentpunkte nicht.</w:t>
      </w:r>
    </w:p>
    <w:p>
      <w:pPr>
        <w:pStyle w:val="ListBullet"/>
      </w:pPr>
      <w:r>
        <w:rPr>
          <w:b w:val="0"/>
          <w:color w:val="3A3A3A"/>
          <w:sz w:val="21"/>
        </w:rPr>
        <w:t>Eine Nennung durch ChatGPT sagt nichts über die Qualität eines Betriebs. Die Liste der KI-Favoriten ist keine Bewertung. Betriebe können der Nennung jederzeit widersprechen.</w:t>
      </w:r>
    </w:p>
    <w:p>
      <w:r>
        <w:rPr>
          <w:b/>
          <w:color w:val="3A3A3A"/>
          <w:sz w:val="21"/>
        </w:rPr>
        <w:t>Quellenangabe:</w:t>
      </w:r>
      <w:r>
        <w:rPr>
          <w:b w:val="0"/>
          <w:color w:val="3A3A3A"/>
          <w:sz w:val="21"/>
        </w:rPr>
        <w:t xml:space="preserve"> adojo GmbH, KI-Sichtbarkeitsatlas Deutschland, Oktober 2026</w:t>
      </w:r>
    </w:p>
    <w:p>
      <w:r>
        <w:rPr>
          <w:b/>
          <w:color w:val="3A3A3A"/>
          <w:sz w:val="21"/>
        </w:rPr>
        <w:t>Kontakt:</w:t>
      </w:r>
      <w:r>
        <w:rPr>
          <w:b w:val="0"/>
          <w:color w:val="3A3A3A"/>
          <w:sz w:val="21"/>
        </w:rPr>
        <w:t xml:space="preserve"> Carsten Arndt, Geschäftsleitung (COO), adojo GmbH, Telefon 0911 24030050, carsten@adojo.de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6B66"/>
        <w:sz w:val="16"/>
      </w:rPr>
      <w:t>adojo GmbH · Nürnberg und Leipzig · Kontakt: Carsten Arndt, 0911 24030050, carsten@adojo.de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07F7F"/>
        <w:sz w:val="18"/>
      </w:rPr>
      <w:t>adojo</w:t>
    </w:r>
    <w:r>
      <w:rPr>
        <w:b w:val="0"/>
        <w:color w:val="007F7F"/>
        <w:sz w:val="18"/>
      </w:rPr>
      <w:t xml:space="preserve"> · KI-Sichtbarkeitsatlas Deutschland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A9B34D4CEBDF4B9A5A932CA4B715F3" ma:contentTypeVersion="12" ma:contentTypeDescription="Ein neues Dokument erstellen." ma:contentTypeScope="" ma:versionID="5976a8d24227a00102f5f863fbd18078">
  <xsd:schema xmlns:xsd="http://www.w3.org/2001/XMLSchema" xmlns:xs="http://www.w3.org/2001/XMLSchema" xmlns:p="http://schemas.microsoft.com/office/2006/metadata/properties" xmlns:ns2="ae9ed599-1b1b-47ba-b99e-4cd01ad4331b" xmlns:ns3="57838e16-067f-40ef-84f0-fb7e9ebf3951" targetNamespace="http://schemas.microsoft.com/office/2006/metadata/properties" ma:root="true" ma:fieldsID="38803f72bae11854c8fb1cbb6882cf5d" ns2:_="" ns3:_="">
    <xsd:import namespace="ae9ed599-1b1b-47ba-b99e-4cd01ad4331b"/>
    <xsd:import namespace="57838e16-067f-40ef-84f0-fb7e9ebf39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ed599-1b1b-47ba-b99e-4cd01ad43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03a8b51-f89c-49bd-b108-265a44fdef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838e16-067f-40ef-84f0-fb7e9ebf395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c48b69-20b2-4325-9bfe-220f9f082dd9}" ma:internalName="TaxCatchAll" ma:showField="CatchAllData" ma:web="57838e16-067f-40ef-84f0-fb7e9ebf39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838e16-067f-40ef-84f0-fb7e9ebf3951" xsi:nil="true"/>
    <lcf76f155ced4ddcb4097134ff3c332f xmlns="ae9ed599-1b1b-47ba-b99e-4cd01ad4331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4BDC21-9F21-4E93-ADA7-279DEEAAA446}"/>
</file>

<file path=customXml/itemProps3.xml><?xml version="1.0" encoding="utf-8"?>
<ds:datastoreItem xmlns:ds="http://schemas.openxmlformats.org/officeDocument/2006/customXml" ds:itemID="{869078A3-C876-4AF2-B06D-A40233FB0381}"/>
</file>

<file path=customXml/itemProps4.xml><?xml version="1.0" encoding="utf-8"?>
<ds:datastoreItem xmlns:ds="http://schemas.openxmlformats.org/officeDocument/2006/customXml" ds:itemID="{E6CA2321-5064-4E0B-911B-CE6EE43DE71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0x010100D9A9B34D4CEBDF4B9A5A932CA4B715F3</vt:lpwstr>
  </property>
</Properties>
</file>